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271FAC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Рамочн</w:t>
      </w:r>
      <w:r w:rsidR="00001458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001458">
        <w:rPr>
          <w:sz w:val="26"/>
          <w:szCs w:val="26"/>
        </w:rPr>
        <w:t>договор</w:t>
      </w:r>
    </w:p>
    <w:p w:rsidR="00837B77" w:rsidRPr="007F1DD8" w:rsidRDefault="00837B77" w:rsidP="000C2DBD">
      <w:pPr>
        <w:pStyle w:val="aa"/>
        <w:spacing w:afterLines="160" w:after="384"/>
        <w:rPr>
          <w:sz w:val="26"/>
          <w:szCs w:val="26"/>
        </w:rPr>
      </w:pPr>
      <w:r w:rsidRPr="007F1DD8">
        <w:rPr>
          <w:sz w:val="26"/>
          <w:szCs w:val="26"/>
        </w:rPr>
        <w:t>между ОАО «НИ</w:t>
      </w:r>
      <w:r w:rsidR="00047877">
        <w:rPr>
          <w:sz w:val="26"/>
          <w:szCs w:val="26"/>
        </w:rPr>
        <w:t>ИЗТ</w:t>
      </w:r>
      <w:r w:rsidRPr="007F1DD8">
        <w:rPr>
          <w:sz w:val="26"/>
          <w:szCs w:val="26"/>
        </w:rPr>
        <w:t xml:space="preserve">» и </w:t>
      </w:r>
      <w:r w:rsidRPr="007F1DD8">
        <w:rPr>
          <w:spacing w:val="-4"/>
          <w:sz w:val="26"/>
          <w:szCs w:val="26"/>
        </w:rPr>
        <w:t>ФГБУК «Госфильмофонд России»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</w:t>
      </w:r>
      <w:r w:rsidR="00271FAC">
        <w:rPr>
          <w:szCs w:val="24"/>
        </w:rPr>
        <w:t>0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271FAC">
        <w:rPr>
          <w:szCs w:val="24"/>
        </w:rPr>
        <w:t>6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</w:t>
      </w:r>
      <w:r w:rsidR="00A16C1D">
        <w:rPr>
          <w:spacing w:val="-4"/>
          <w:sz w:val="27"/>
          <w:szCs w:val="27"/>
        </w:rPr>
        <w:t>д</w:t>
      </w:r>
      <w:r w:rsidR="00A16C1D">
        <w:rPr>
          <w:spacing w:val="-4"/>
          <w:sz w:val="27"/>
          <w:szCs w:val="27"/>
        </w:rPr>
        <w:t>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</w:t>
      </w:r>
      <w:r w:rsidR="00E22A01" w:rsidRPr="00C508E5">
        <w:rPr>
          <w:sz w:val="27"/>
          <w:szCs w:val="27"/>
        </w:rPr>
        <w:t>т</w:t>
      </w:r>
      <w:r w:rsidR="00E22A01" w:rsidRPr="00C508E5">
        <w:rPr>
          <w:sz w:val="27"/>
          <w:szCs w:val="27"/>
        </w:rPr>
        <w:t>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</w:t>
      </w:r>
      <w:r w:rsidR="00FD30F7" w:rsidRPr="00C508E5">
        <w:rPr>
          <w:spacing w:val="-4"/>
          <w:sz w:val="27"/>
          <w:szCs w:val="27"/>
        </w:rPr>
        <w:t>е</w:t>
      </w:r>
      <w:r w:rsidR="00FD30F7" w:rsidRPr="00C508E5">
        <w:rPr>
          <w:spacing w:val="-4"/>
          <w:sz w:val="27"/>
          <w:szCs w:val="27"/>
        </w:rPr>
        <w:t>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</w:t>
      </w:r>
      <w:r w:rsidR="000C2DBD" w:rsidRPr="00C508E5">
        <w:rPr>
          <w:sz w:val="27"/>
          <w:szCs w:val="27"/>
        </w:rPr>
        <w:t>е</w:t>
      </w:r>
      <w:r w:rsidR="000C2DBD" w:rsidRPr="00C508E5">
        <w:rPr>
          <w:sz w:val="27"/>
          <w:szCs w:val="27"/>
        </w:rPr>
        <w:t xml:space="preserve">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>лиза используемых ранее технологий фильмопроизводства и изучения 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</w:t>
      </w:r>
      <w:r w:rsidRPr="00C508E5">
        <w:rPr>
          <w:sz w:val="27"/>
          <w:szCs w:val="27"/>
        </w:rPr>
        <w:t>т</w:t>
      </w:r>
      <w:r w:rsidRPr="00C508E5">
        <w:rPr>
          <w:sz w:val="27"/>
          <w:szCs w:val="27"/>
        </w:rPr>
        <w:t>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7D" w:rsidRDefault="0048517D">
      <w:r>
        <w:separator/>
      </w:r>
    </w:p>
  </w:endnote>
  <w:endnote w:type="continuationSeparator" w:id="0">
    <w:p w:rsidR="0048517D" w:rsidRDefault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CC7498" w:rsidRDefault="00F24A5D" w:rsidP="00CC74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98" w:rsidRPr="00CB15B8" w:rsidRDefault="00CC7498" w:rsidP="00CC749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B15B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CB15B8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CB15B8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CB15B8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CC7498" w:rsidRDefault="00F24A5D" w:rsidP="00CC7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7D" w:rsidRDefault="0048517D">
      <w:r>
        <w:separator/>
      </w:r>
    </w:p>
  </w:footnote>
  <w:footnote w:type="continuationSeparator" w:id="0">
    <w:p w:rsidR="0048517D" w:rsidRDefault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CC7498" w:rsidRDefault="00F24A5D" w:rsidP="00CC7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CC7498" w:rsidRDefault="00F24A5D" w:rsidP="00CC74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1A" w:rsidRPr="00CC7498" w:rsidRDefault="00873A1A" w:rsidP="00CC7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01458"/>
    <w:rsid w:val="00047877"/>
    <w:rsid w:val="0008596B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271FAC"/>
    <w:rsid w:val="002D358F"/>
    <w:rsid w:val="00312928"/>
    <w:rsid w:val="00384F59"/>
    <w:rsid w:val="00420DB1"/>
    <w:rsid w:val="0048517D"/>
    <w:rsid w:val="004936E8"/>
    <w:rsid w:val="004B4C9A"/>
    <w:rsid w:val="005545CD"/>
    <w:rsid w:val="005710BE"/>
    <w:rsid w:val="005B7E1D"/>
    <w:rsid w:val="00740CB8"/>
    <w:rsid w:val="00773119"/>
    <w:rsid w:val="007C48DF"/>
    <w:rsid w:val="007F1DD8"/>
    <w:rsid w:val="00813BD9"/>
    <w:rsid w:val="00826835"/>
    <w:rsid w:val="00837B77"/>
    <w:rsid w:val="00863BEE"/>
    <w:rsid w:val="00873A1A"/>
    <w:rsid w:val="008B14DE"/>
    <w:rsid w:val="00960B89"/>
    <w:rsid w:val="009620B6"/>
    <w:rsid w:val="009B3E40"/>
    <w:rsid w:val="00A16C1D"/>
    <w:rsid w:val="00A36AE9"/>
    <w:rsid w:val="00A376C1"/>
    <w:rsid w:val="00AA0303"/>
    <w:rsid w:val="00AB2433"/>
    <w:rsid w:val="00AE0483"/>
    <w:rsid w:val="00B535AF"/>
    <w:rsid w:val="00B91019"/>
    <w:rsid w:val="00BC5AC3"/>
    <w:rsid w:val="00C508E5"/>
    <w:rsid w:val="00C54DC1"/>
    <w:rsid w:val="00CB15B8"/>
    <w:rsid w:val="00CC7498"/>
    <w:rsid w:val="00D646DC"/>
    <w:rsid w:val="00D92820"/>
    <w:rsid w:val="00E22A01"/>
    <w:rsid w:val="00ED21D7"/>
    <w:rsid w:val="00EE2E61"/>
    <w:rsid w:val="00F24A5D"/>
    <w:rsid w:val="00F25DBB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A6FCEC-954A-4D0C-8EC5-BBEE7BE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CC7498"/>
  </w:style>
  <w:style w:type="character" w:styleId="ab">
    <w:name w:val="Hyperlink"/>
    <w:uiPriority w:val="99"/>
    <w:unhideWhenUsed/>
    <w:rsid w:val="00CC7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2967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3534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рамочного договора поставки</dc:title>
  <dc:subject>Правовые особенности оформления рамочного договора поставки пример и форма, а также бесплатные советы адвокатов</dc:subject>
  <dc:creator>formadoc.ru</dc:creator>
  <cp:keywords>Договоры, Бизнес, Поставка, Рамочного договор поставки</cp:keywords>
  <dc:description>Правовые особенности оформления рамочного договора поставки пример и форма,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Договоры/Бизнес/Поставка/Рамочного договор поставки</cp:category>
  <dc:language>Rus</dc:language>
  <cp:version>1.0</cp:version>
</cp:coreProperties>
</file>