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4" w:rsidRPr="008F0784" w:rsidRDefault="008F0784" w:rsidP="00354865">
      <w:pPr>
        <w:ind w:firstLine="540"/>
        <w:jc w:val="both"/>
      </w:pPr>
      <w:bookmarkStart w:id="0" w:name="_GoBack"/>
      <w:bookmarkEnd w:id="0"/>
    </w:p>
    <w:p w:rsidR="008F0784" w:rsidRPr="00354865" w:rsidRDefault="008F0784" w:rsidP="00354865">
      <w:pPr>
        <w:ind w:firstLine="540"/>
        <w:jc w:val="right"/>
        <w:rPr>
          <w:sz w:val="32"/>
          <w:szCs w:val="32"/>
        </w:rPr>
      </w:pPr>
      <w:r w:rsidRPr="00354865">
        <w:rPr>
          <w:sz w:val="32"/>
          <w:szCs w:val="32"/>
        </w:rPr>
        <w:t>Утверждаю</w:t>
      </w:r>
    </w:p>
    <w:p w:rsidR="008F0784" w:rsidRPr="00354865" w:rsidRDefault="008F0784" w:rsidP="00354865">
      <w:pPr>
        <w:ind w:firstLine="540"/>
        <w:jc w:val="right"/>
        <w:rPr>
          <w:sz w:val="32"/>
          <w:szCs w:val="32"/>
        </w:rPr>
      </w:pPr>
      <w:r w:rsidRPr="00354865">
        <w:rPr>
          <w:sz w:val="32"/>
          <w:szCs w:val="32"/>
        </w:rPr>
        <w:t>_______________</w:t>
      </w:r>
    </w:p>
    <w:p w:rsidR="00354865" w:rsidRDefault="00354865" w:rsidP="00354865">
      <w:pPr>
        <w:ind w:firstLine="540"/>
        <w:jc w:val="right"/>
      </w:pPr>
    </w:p>
    <w:p w:rsidR="008F0784" w:rsidRPr="00354865" w:rsidRDefault="008F0784" w:rsidP="00354865">
      <w:pPr>
        <w:ind w:firstLine="540"/>
        <w:jc w:val="right"/>
      </w:pPr>
      <w:r w:rsidRPr="00354865">
        <w:t>"___" __________ 20 __ года.</w:t>
      </w:r>
    </w:p>
    <w:p w:rsidR="008F0784" w:rsidRPr="00354865" w:rsidRDefault="008F0784" w:rsidP="00354865">
      <w:pPr>
        <w:ind w:firstLine="540"/>
        <w:jc w:val="both"/>
        <w:rPr>
          <w:sz w:val="32"/>
          <w:szCs w:val="32"/>
        </w:rPr>
      </w:pPr>
    </w:p>
    <w:p w:rsidR="00354865" w:rsidRDefault="00354865" w:rsidP="00354865">
      <w:pPr>
        <w:ind w:firstLine="540"/>
        <w:jc w:val="center"/>
        <w:rPr>
          <w:b/>
        </w:rPr>
      </w:pPr>
    </w:p>
    <w:p w:rsidR="008F0784" w:rsidRPr="00354865" w:rsidRDefault="008F0784" w:rsidP="00354865">
      <w:pPr>
        <w:ind w:firstLine="540"/>
        <w:jc w:val="center"/>
        <w:rPr>
          <w:b/>
        </w:rPr>
      </w:pPr>
      <w:r w:rsidRPr="00354865">
        <w:rPr>
          <w:b/>
        </w:rPr>
        <w:t>Пояснительная записка к годовому отчету</w:t>
      </w:r>
    </w:p>
    <w:p w:rsidR="008F0784" w:rsidRPr="008F0784" w:rsidRDefault="008F0784" w:rsidP="00354865">
      <w:pPr>
        <w:ind w:firstLine="540"/>
        <w:jc w:val="both"/>
      </w:pPr>
    </w:p>
    <w:p w:rsidR="008F0784" w:rsidRPr="008F0784" w:rsidRDefault="008F0784" w:rsidP="00354865">
      <w:pPr>
        <w:ind w:firstLine="540"/>
        <w:jc w:val="both"/>
      </w:pPr>
      <w:r w:rsidRPr="008F0784">
        <w:t>ОАО «НИИТЗ № 233» создано в соответствии с распоряжением Т</w:t>
      </w:r>
      <w:r w:rsidR="00354865">
        <w:t>У п</w:t>
      </w:r>
      <w:r w:rsidRPr="008F0784">
        <w:t>о городу Москве от 30.12.200</w:t>
      </w:r>
      <w:r w:rsidR="00354865">
        <w:t>8</w:t>
      </w:r>
      <w:r w:rsidRPr="008F0784">
        <w:t xml:space="preserve"> № 1</w:t>
      </w:r>
      <w:r w:rsidR="00354865">
        <w:t>2</w:t>
      </w:r>
      <w:r w:rsidRPr="008F0784">
        <w:t>77 «Об условиях приватизации ФГУП «НИИТЗ № 233», является правопреемником ФГУП «НИИТЗ № 233».</w:t>
      </w:r>
    </w:p>
    <w:p w:rsidR="008F0784" w:rsidRPr="008F0784" w:rsidRDefault="008F0784" w:rsidP="00354865">
      <w:pPr>
        <w:ind w:firstLine="540"/>
        <w:jc w:val="both"/>
      </w:pPr>
      <w:r w:rsidRPr="008F0784">
        <w:t>Свидетельство о внесении записи в ЕГРЮЛ от 21.03.200</w:t>
      </w:r>
      <w:r w:rsidR="00354865">
        <w:t>9</w:t>
      </w:r>
      <w:r w:rsidRPr="008F0784">
        <w:t>, ОГРН 1</w:t>
      </w:r>
      <w:r w:rsidR="00354865">
        <w:t>2</w:t>
      </w:r>
      <w:r w:rsidRPr="008F0784">
        <w:t>677</w:t>
      </w:r>
      <w:r w:rsidR="00354865">
        <w:t>2</w:t>
      </w:r>
      <w:r w:rsidRPr="008F0784">
        <w:t>463983</w:t>
      </w:r>
      <w:r w:rsidR="00354865">
        <w:t>0</w:t>
      </w:r>
      <w:r w:rsidRPr="008F0784">
        <w:t>67.</w:t>
      </w:r>
    </w:p>
    <w:p w:rsidR="008F0784" w:rsidRPr="008F0784" w:rsidRDefault="008F0784" w:rsidP="00354865">
      <w:pPr>
        <w:ind w:firstLine="540"/>
        <w:jc w:val="both"/>
      </w:pPr>
      <w:r w:rsidRPr="008F0784">
        <w:t>Передаточным актом от 28.03.200</w:t>
      </w:r>
      <w:r w:rsidR="00354865">
        <w:t>8</w:t>
      </w:r>
      <w:r w:rsidRPr="008F0784">
        <w:t xml:space="preserve"> «Подлежащего приватизации имущественного комплекса ФГУП </w:t>
      </w:r>
      <w:r w:rsidR="00354865" w:rsidRPr="008F0784">
        <w:t>«НИИТЗ № 233»</w:t>
      </w:r>
      <w:r w:rsidRPr="008F0784">
        <w:t xml:space="preserve">, утвержденного ТУ </w:t>
      </w:r>
      <w:proofErr w:type="spellStart"/>
      <w:r w:rsidRPr="008F0784">
        <w:t>Росимущества</w:t>
      </w:r>
      <w:proofErr w:type="spellEnd"/>
      <w:r w:rsidRPr="008F0784">
        <w:t xml:space="preserve"> по городу Москве 30.12.200</w:t>
      </w:r>
      <w:r w:rsidR="00354865">
        <w:t>8</w:t>
      </w:r>
      <w:r w:rsidRPr="008F0784">
        <w:t xml:space="preserve">, имущественный комплекс, находившийся на праве хозяйственного ведения у ФГУП </w:t>
      </w:r>
      <w:r w:rsidR="00354865" w:rsidRPr="008F0784">
        <w:t>«НИИТЗ № 233»</w:t>
      </w:r>
      <w:r w:rsidRPr="008F0784">
        <w:t>, был передан в собственность Общества.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В соответствии с Передаточным актом. Обществу переданы на праве собственности нежилые строения №№ 1,2 (часть), 4 (часть), 6, расположенное по адресу: г. Москва, </w:t>
      </w:r>
      <w:r w:rsidR="00354865">
        <w:t>Выборгский</w:t>
      </w:r>
      <w:r w:rsidRPr="008F0784">
        <w:t xml:space="preserve"> проспект, д.</w:t>
      </w:r>
      <w:r w:rsidR="00354865">
        <w:t xml:space="preserve"> </w:t>
      </w:r>
      <w:r w:rsidRPr="008F0784">
        <w:t>4</w:t>
      </w:r>
      <w:r w:rsidR="00354865">
        <w:t>1</w:t>
      </w:r>
      <w:r w:rsidRPr="008F0784">
        <w:t>.</w:t>
      </w:r>
    </w:p>
    <w:p w:rsidR="00354865" w:rsidRDefault="008F0784" w:rsidP="00354865">
      <w:pPr>
        <w:ind w:firstLine="540"/>
        <w:jc w:val="both"/>
      </w:pPr>
      <w:r w:rsidRPr="008F0784">
        <w:t>По состоянию на 01.10.200</w:t>
      </w:r>
      <w:r w:rsidR="00354865">
        <w:t>9</w:t>
      </w:r>
      <w:r w:rsidRPr="008F0784">
        <w:t xml:space="preserve"> право собственности зарегистрировано только на недвижимое имущество, расположенное по адресу: г. Москва, </w:t>
      </w:r>
      <w:r w:rsidR="00354865">
        <w:t>Выборгский</w:t>
      </w:r>
      <w:r w:rsidRPr="008F0784">
        <w:t xml:space="preserve"> пр-т, д. 4</w:t>
      </w:r>
      <w:r w:rsidR="00354865">
        <w:t>1</w:t>
      </w:r>
      <w:r w:rsidRPr="008F0784">
        <w:t>, стр.1 (запис</w:t>
      </w:r>
      <w:r w:rsidR="00354865">
        <w:t>ь регистрации «77-77-13/012/2010</w:t>
      </w:r>
      <w:r w:rsidRPr="008F0784">
        <w:t>-001</w:t>
      </w:r>
      <w:r w:rsidR="00354865">
        <w:t>94</w:t>
      </w:r>
      <w:r w:rsidRPr="008F0784">
        <w:t xml:space="preserve"> в Едином государственном реестре прав на недвижимое имущество и сделок с ним от 08.10.20</w:t>
      </w:r>
      <w:r w:rsidR="00354865">
        <w:t>1</w:t>
      </w:r>
      <w:r w:rsidRPr="008F0784">
        <w:t xml:space="preserve">0»). </w:t>
      </w:r>
    </w:p>
    <w:p w:rsidR="008F0784" w:rsidRPr="00354865" w:rsidRDefault="008F0784" w:rsidP="00354865">
      <w:pPr>
        <w:ind w:firstLine="540"/>
        <w:jc w:val="both"/>
      </w:pPr>
      <w:r w:rsidRPr="00354865">
        <w:t>На остальные объекты права собственности не зарегистрированы (по состоянию на 01.10.20</w:t>
      </w:r>
      <w:r w:rsidR="00354865">
        <w:t>1</w:t>
      </w:r>
      <w:r w:rsidRPr="00354865">
        <w:t xml:space="preserve">0), что связано с допущенными техническими ошибками в документах при регистрации перехода права собственности от ФГУП </w:t>
      </w:r>
      <w:r w:rsidR="00354865" w:rsidRPr="008F0784">
        <w:t>«НИИТЗ № 233»</w:t>
      </w:r>
      <w:r w:rsidRPr="00354865">
        <w:t xml:space="preserve"> к ОАО </w:t>
      </w:r>
      <w:r w:rsidR="00354865" w:rsidRPr="008F0784">
        <w:t>«НИИТЗ № 233»</w:t>
      </w:r>
      <w:r w:rsidRPr="00354865">
        <w:t>.</w:t>
      </w:r>
    </w:p>
    <w:p w:rsidR="008F0784" w:rsidRPr="00354865" w:rsidRDefault="008F0784" w:rsidP="00354865">
      <w:pPr>
        <w:ind w:firstLine="540"/>
        <w:jc w:val="both"/>
      </w:pPr>
      <w:r w:rsidRPr="00354865">
        <w:t>В результате Обществу было отказано в регистрации обыкновенных именных бездокументарных акций.</w:t>
      </w:r>
    </w:p>
    <w:p w:rsidR="008F0784" w:rsidRPr="00354865" w:rsidRDefault="008F0784" w:rsidP="00354865">
      <w:pPr>
        <w:ind w:firstLine="540"/>
        <w:jc w:val="both"/>
      </w:pPr>
      <w:r w:rsidRPr="00354865">
        <w:t xml:space="preserve">В распоряжении ТУ </w:t>
      </w:r>
      <w:proofErr w:type="spellStart"/>
      <w:r w:rsidRPr="00354865">
        <w:t>Росимущества</w:t>
      </w:r>
      <w:proofErr w:type="spellEnd"/>
      <w:r w:rsidR="00354865">
        <w:t xml:space="preserve"> по г. Москве от 30.12.2008 № 12</w:t>
      </w:r>
      <w:r w:rsidRPr="00354865">
        <w:t xml:space="preserve">77 «Об условиях приватизации ФГУП </w:t>
      </w:r>
      <w:r w:rsidR="00354865" w:rsidRPr="008F0784">
        <w:t>«НИИТЗ № 233»</w:t>
      </w:r>
      <w:r w:rsidRPr="00354865">
        <w:t xml:space="preserve">, а также в Передаточном акте подлежащего приватизации имущественного комплекса ФГУП </w:t>
      </w:r>
      <w:r w:rsidR="00354865" w:rsidRPr="008F0784">
        <w:t>«НИИТЗ № 233»</w:t>
      </w:r>
      <w:r w:rsidR="00354865">
        <w:t xml:space="preserve"> от 30.12.2008</w:t>
      </w:r>
      <w:r w:rsidRPr="00354865">
        <w:t xml:space="preserve">, вопрос о передаче Обществу земельного участка, на котором расположены принадлежащие Обществу на праве собственности строения и сооружения не определен. На момент проведения проверки Общества ТУ </w:t>
      </w:r>
      <w:proofErr w:type="spellStart"/>
      <w:r w:rsidRPr="00354865">
        <w:t>Росимущества</w:t>
      </w:r>
      <w:proofErr w:type="spellEnd"/>
      <w:r w:rsidRPr="00354865">
        <w:t xml:space="preserve"> по городу Москве правовой статус земельного участка не определен.</w:t>
      </w:r>
    </w:p>
    <w:p w:rsidR="008F0784" w:rsidRPr="008F0784" w:rsidRDefault="008F0784" w:rsidP="00354865">
      <w:pPr>
        <w:ind w:firstLine="540"/>
        <w:jc w:val="both"/>
      </w:pPr>
      <w:r w:rsidRPr="00354865">
        <w:t>Регистрация права собственности на земельный участок не произведена, земельно-правовые отношения на участок не оформлены.</w:t>
      </w:r>
    </w:p>
    <w:p w:rsidR="008F0784" w:rsidRPr="008F0784" w:rsidRDefault="008F0784" w:rsidP="00354865">
      <w:pPr>
        <w:ind w:firstLine="540"/>
        <w:jc w:val="both"/>
      </w:pPr>
      <w:r w:rsidRPr="008F0784">
        <w:t>В соответствии с письмом Главного управления охраны памятников г.</w:t>
      </w:r>
      <w:r w:rsidR="00354865">
        <w:t xml:space="preserve"> Москвы от 15.05.2003 № 14-08/23</w:t>
      </w:r>
      <w:r w:rsidRPr="008F0784">
        <w:t xml:space="preserve">48 здание, расположенное по адресу: г. Москва, </w:t>
      </w:r>
      <w:r w:rsidR="00354865">
        <w:t>Выборгский</w:t>
      </w:r>
      <w:r w:rsidRPr="008F0784">
        <w:t xml:space="preserve"> проспект, д.47, стр.1, включено в список вновь выявленных объектов охраны.</w:t>
      </w:r>
    </w:p>
    <w:p w:rsidR="008F0784" w:rsidRPr="008F0784" w:rsidRDefault="008F0784" w:rsidP="00354865">
      <w:pPr>
        <w:ind w:firstLine="540"/>
        <w:jc w:val="both"/>
      </w:pPr>
    </w:p>
    <w:p w:rsidR="008F0784" w:rsidRPr="00354865" w:rsidRDefault="008F0784" w:rsidP="00354865">
      <w:pPr>
        <w:ind w:firstLine="540"/>
        <w:jc w:val="both"/>
        <w:rPr>
          <w:b/>
        </w:rPr>
      </w:pPr>
      <w:r w:rsidRPr="00354865">
        <w:rPr>
          <w:b/>
        </w:rPr>
        <w:t>Анализ содержания договоров аренды</w:t>
      </w:r>
    </w:p>
    <w:p w:rsidR="00354865" w:rsidRDefault="00354865" w:rsidP="00354865">
      <w:pPr>
        <w:ind w:firstLine="540"/>
        <w:jc w:val="both"/>
      </w:pPr>
    </w:p>
    <w:p w:rsidR="008F0784" w:rsidRPr="008F0784" w:rsidRDefault="008F0784" w:rsidP="00354865">
      <w:pPr>
        <w:ind w:firstLine="540"/>
        <w:jc w:val="both"/>
      </w:pPr>
      <w:r w:rsidRPr="008F0784">
        <w:t>Согласно Акту представлена информация по 82 организациям, с которыми были заключены договоры аренды.</w:t>
      </w:r>
    </w:p>
    <w:p w:rsidR="008F0784" w:rsidRPr="008F0784" w:rsidRDefault="008F0784" w:rsidP="00354865">
      <w:pPr>
        <w:ind w:firstLine="540"/>
        <w:jc w:val="both"/>
      </w:pPr>
      <w:r w:rsidRPr="008F0784">
        <w:t>В  таблице указаны перечень  предприятий-арендаторов  и информация  о договорах аренды, заключенных с ними.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Договоры преимущественно были заключены на 2010 год и на срок менее года. </w:t>
      </w:r>
    </w:p>
    <w:p w:rsidR="008F0784" w:rsidRPr="008F0784" w:rsidRDefault="008F0784" w:rsidP="00354865">
      <w:pPr>
        <w:ind w:firstLine="540"/>
        <w:jc w:val="both"/>
      </w:pPr>
      <w:r w:rsidRPr="008F0784">
        <w:t>Сдано в аренду сторонним организациям - 3752,81 кв.м,   в том числе -профильным Обществу сторонним организациям - 2495,1 кв.м, непрофильным -1257,7 кв.м.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Сведения о среднем уровне арендной ставки в акте отсутствуют, нижняя граница составляет - 4419,0 руб. за кв.м. (договор № 11/12-А от 30.11.2007), а верхняя граница - </w:t>
      </w:r>
      <w:r w:rsidRPr="008F0784">
        <w:lastRenderedPageBreak/>
        <w:t xml:space="preserve">30762 руб. кв.м (по единственному договору с такой ставкой с ОАО «Мобильные </w:t>
      </w:r>
      <w:proofErr w:type="spellStart"/>
      <w:r w:rsidRPr="008F0784">
        <w:t>ТелеСистемы</w:t>
      </w:r>
      <w:proofErr w:type="spellEnd"/>
      <w:r w:rsidRPr="008F0784">
        <w:t>» № Д 06</w:t>
      </w:r>
      <w:r w:rsidR="00354865">
        <w:t>2</w:t>
      </w:r>
      <w:r w:rsidRPr="008F0784">
        <w:t>2682/4</w:t>
      </w:r>
      <w:r w:rsidR="00354865">
        <w:t>3</w:t>
      </w:r>
      <w:r w:rsidRPr="008F0784">
        <w:t>/</w:t>
      </w:r>
      <w:r w:rsidR="00354865">
        <w:t>336-06А от 05</w:t>
      </w:r>
      <w:r w:rsidRPr="008F0784">
        <w:t>.06.0</w:t>
      </w:r>
      <w:r w:rsidR="00354865">
        <w:t>7</w:t>
      </w:r>
      <w:r w:rsidRPr="008F0784">
        <w:t>. (срок действия не указан, вероятно, договор, действующий в 2006, 2007 годах).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По данным ТУ </w:t>
      </w:r>
      <w:proofErr w:type="spellStart"/>
      <w:r w:rsidRPr="008F0784">
        <w:t>Росимущества</w:t>
      </w:r>
      <w:proofErr w:type="spellEnd"/>
      <w:r w:rsidRPr="008F0784">
        <w:t xml:space="preserve"> в городе Москве основная масса договоров заключена по ставке - 7000,0 - 8500,0 тыс.руб. без НДС (о коммунальных расходах данные отсутствуют). В соответствии с представленными договорами арендная ставка включает НДС, стоимость коммунальных услуг, иногда включает эксплуатационные расходы (в Договоре 01/12 от 12.02.2008 с</w:t>
      </w:r>
      <w:r w:rsidR="00354865">
        <w:t>_____________________________________</w:t>
      </w:r>
      <w:r w:rsidRPr="008F0784">
        <w:t>.</w:t>
      </w:r>
    </w:p>
    <w:p w:rsidR="008F0784" w:rsidRPr="008F0784" w:rsidRDefault="008F0784" w:rsidP="00354865">
      <w:pPr>
        <w:ind w:firstLine="540"/>
        <w:jc w:val="both"/>
      </w:pPr>
      <w:r w:rsidRPr="00354865">
        <w:t>В соответствии с Актом оценка стоимости ставки арендных платежей производилась в соответствии с Федеральным законом «Об оценочной деятельности» от 29.07.1998 № 1</w:t>
      </w:r>
      <w:r w:rsidR="00354865">
        <w:t>4</w:t>
      </w:r>
      <w:r w:rsidRPr="00354865">
        <w:t>35-ФЗ ООО «Бюро независимых экспертиз «Инде</w:t>
      </w:r>
      <w:r w:rsidR="00354865">
        <w:t xml:space="preserve"> и </w:t>
      </w:r>
      <w:r w:rsidRPr="00354865">
        <w:t>кс» и составляет от 6481 руб. за кв.м. в год до 10 177 руб. кв.м. в год.</w:t>
      </w:r>
    </w:p>
    <w:p w:rsidR="00354865" w:rsidRDefault="00354865" w:rsidP="00354865">
      <w:pPr>
        <w:ind w:firstLine="540"/>
        <w:jc w:val="both"/>
      </w:pPr>
    </w:p>
    <w:p w:rsidR="008F0784" w:rsidRPr="008F0784" w:rsidRDefault="008F0784" w:rsidP="00354865">
      <w:pPr>
        <w:ind w:firstLine="540"/>
        <w:jc w:val="both"/>
      </w:pPr>
      <w:r w:rsidRPr="008F0784">
        <w:t>Однако по данным компании «</w:t>
      </w:r>
      <w:proofErr w:type="spellStart"/>
      <w:r w:rsidR="00354865">
        <w:t>О</w:t>
      </w:r>
      <w:r w:rsidRPr="008F0784">
        <w:t>tera</w:t>
      </w:r>
      <w:proofErr w:type="spellEnd"/>
      <w:r w:rsidRPr="008F0784">
        <w:t xml:space="preserve">» </w:t>
      </w:r>
      <w:r w:rsidR="00354865">
        <w:t>сделки по аренде в 2010</w:t>
      </w:r>
      <w:r w:rsidRPr="008F0784">
        <w:t xml:space="preserve"> году по-прежнему преобладали над сделками по покупке, поскольку аренда являлась более выгодной ввиду особенностей российского рынка офисной недвижимости.</w:t>
      </w:r>
    </w:p>
    <w:p w:rsidR="008F0784" w:rsidRPr="008F0784" w:rsidRDefault="008F0784" w:rsidP="00354865">
      <w:pPr>
        <w:ind w:firstLine="540"/>
        <w:jc w:val="both"/>
      </w:pPr>
      <w:r w:rsidRPr="008F0784">
        <w:t>По данным компании за первое полугодие 20</w:t>
      </w:r>
      <w:r w:rsidR="00354865">
        <w:t>1</w:t>
      </w:r>
      <w:r w:rsidRPr="008F0784">
        <w:t xml:space="preserve">0 года средняя ставка арендной платы без НДС, включая эксплуатационные расходы, составляла: 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Для класса А -   1285 - 1450 долл.США за кв.м в год; 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Для класса В+ - 1050 - 1200 долл.США за кв.м в год; </w:t>
      </w:r>
    </w:p>
    <w:p w:rsidR="008F0784" w:rsidRPr="008F0784" w:rsidRDefault="008F0784" w:rsidP="00354865">
      <w:pPr>
        <w:ind w:firstLine="540"/>
        <w:jc w:val="both"/>
      </w:pPr>
      <w:r w:rsidRPr="008F0784">
        <w:t>Для класса В—   660 - 720 долл.США за кв.м в год.</w:t>
      </w:r>
    </w:p>
    <w:p w:rsidR="008F0784" w:rsidRPr="008F0784" w:rsidRDefault="008F0784" w:rsidP="00354865">
      <w:pPr>
        <w:ind w:firstLine="540"/>
        <w:jc w:val="both"/>
      </w:pPr>
      <w:r w:rsidRPr="008F0784">
        <w:t>Исходя из того, что средний курс долл. США в 2008 году составил около 24,87 руб., то в пересчете на рубли по данным компании «</w:t>
      </w:r>
      <w:proofErr w:type="spellStart"/>
      <w:r w:rsidRPr="008F0784">
        <w:t>Astera</w:t>
      </w:r>
      <w:proofErr w:type="spellEnd"/>
      <w:r w:rsidRPr="008F0784">
        <w:t>» за первое полугодие 20</w:t>
      </w:r>
      <w:r w:rsidR="001727FD">
        <w:t>1</w:t>
      </w:r>
      <w:r w:rsidRPr="008F0784">
        <w:t>0 года средняя ставка арендной платы без НДС, включая эксплуатационные расходы, составляла: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Для класса А - 31957,95 - 36061,5 руб. за кв. м в год; </w:t>
      </w:r>
    </w:p>
    <w:p w:rsidR="008F0784" w:rsidRPr="008F0784" w:rsidRDefault="008F0784" w:rsidP="00354865">
      <w:pPr>
        <w:ind w:firstLine="540"/>
        <w:jc w:val="both"/>
      </w:pPr>
      <w:r w:rsidRPr="008F0784">
        <w:t xml:space="preserve">Для класса В+ - 26113,5 - 29844,0 руб. за кв. м в год; </w:t>
      </w:r>
    </w:p>
    <w:p w:rsidR="008F0784" w:rsidRPr="008F0784" w:rsidRDefault="008F0784" w:rsidP="00354865">
      <w:pPr>
        <w:ind w:firstLine="540"/>
        <w:jc w:val="both"/>
      </w:pPr>
      <w:r w:rsidRPr="008F0784">
        <w:t>Для класса В— 16414,2 - 17906,4 руб. за кв. м в год.</w:t>
      </w:r>
    </w:p>
    <w:p w:rsidR="008F0784" w:rsidRPr="001727FD" w:rsidRDefault="008F0784" w:rsidP="00354865">
      <w:pPr>
        <w:ind w:firstLine="540"/>
        <w:jc w:val="both"/>
      </w:pPr>
      <w:r w:rsidRPr="001727FD">
        <w:t>По данным компании «Новое качество» по итогам 20</w:t>
      </w:r>
      <w:r w:rsidR="001727FD">
        <w:t>1</w:t>
      </w:r>
      <w:r w:rsidRPr="001727FD">
        <w:t>0 года размер средней арендной ставки одного кв.м офисных помещений класса А установился на отметке около 1183 долл. США в год (без НДС, о коммунальных расходах данные отсутствуют), соответственно на помещения класса В - 757 долл.США. Данные в пересчете в рублях: класс А - 29421,21 руб., класс В - 18826,59 руб.</w:t>
      </w:r>
    </w:p>
    <w:p w:rsidR="008F0784" w:rsidRPr="001727FD" w:rsidRDefault="008F0784" w:rsidP="00354865">
      <w:pPr>
        <w:ind w:firstLine="540"/>
        <w:jc w:val="both"/>
      </w:pPr>
      <w:r w:rsidRPr="001727FD">
        <w:t xml:space="preserve">Все данные представлены без НДС, что делает их сопоставимыми, но при этом сопоставление затрудняет наличие информации о коммунальных расходах, поскольку в одном случае имеется информация о коммунальных расходах, а в другом - она отсутствует, кроме того нет информации о классе офисных помещений в ОАО </w:t>
      </w:r>
      <w:r w:rsidR="001727FD" w:rsidRPr="008F0784">
        <w:t>«НИИТЗ № 233»</w:t>
      </w:r>
      <w:r w:rsidRPr="001727FD">
        <w:t>.</w:t>
      </w:r>
    </w:p>
    <w:p w:rsidR="008F0784" w:rsidRPr="008F0784" w:rsidRDefault="008F0784" w:rsidP="00354865">
      <w:pPr>
        <w:ind w:firstLine="540"/>
        <w:jc w:val="both"/>
      </w:pPr>
      <w:r w:rsidRPr="001727FD">
        <w:t xml:space="preserve">Тем не менее, если исходить из минимальной средней ставки арендной платы без НДС, включая эксплуатационные расходы для помещений класса В-, их значение в диапазоне 16414,2 - 17906,4 руб. за кв. м в год выше, чем диапазон средней ставки по основной массе договоров аренды, заключенных ОАО </w:t>
      </w:r>
      <w:r w:rsidR="001727FD" w:rsidRPr="008F0784">
        <w:t>«НИИТЗ № 233»</w:t>
      </w:r>
      <w:r w:rsidRPr="001727FD">
        <w:t xml:space="preserve"> - 7000,0 - 8500,0 тыс.руб. за кв.м без НДС (о коммунальных расходах данные отсутствуют).</w:t>
      </w:r>
    </w:p>
    <w:p w:rsidR="008F0784" w:rsidRPr="008F0784" w:rsidRDefault="008F0784" w:rsidP="00354865">
      <w:pPr>
        <w:ind w:firstLine="540"/>
        <w:jc w:val="both"/>
      </w:pPr>
    </w:p>
    <w:p w:rsidR="001727FD" w:rsidRDefault="001727FD" w:rsidP="00354865">
      <w:pPr>
        <w:ind w:firstLine="540"/>
        <w:jc w:val="both"/>
      </w:pPr>
      <w:r>
        <w:t>Ведущий эксперт по финансовому планированию.</w:t>
      </w:r>
    </w:p>
    <w:sectPr w:rsidR="001727FD" w:rsidSect="00172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4" w:right="746" w:bottom="89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C7" w:rsidRDefault="00C52EC7">
      <w:r>
        <w:separator/>
      </w:r>
    </w:p>
  </w:endnote>
  <w:endnote w:type="continuationSeparator" w:id="0">
    <w:p w:rsidR="00C52EC7" w:rsidRDefault="00C5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8" w:rsidRPr="00A64876" w:rsidRDefault="005130F8" w:rsidP="00A648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76" w:rsidRPr="00C74322" w:rsidRDefault="00A64876" w:rsidP="00A64876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C7432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7432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7432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7432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8" w:rsidRPr="00A64876" w:rsidRDefault="005130F8" w:rsidP="00A648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C7" w:rsidRDefault="00C52EC7">
      <w:r>
        <w:separator/>
      </w:r>
    </w:p>
  </w:footnote>
  <w:footnote w:type="continuationSeparator" w:id="0">
    <w:p w:rsidR="00C52EC7" w:rsidRDefault="00C5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FD" w:rsidRPr="00A64876" w:rsidRDefault="001727FD" w:rsidP="00A64876">
    <w:pPr>
      <w:pStyle w:val="a5"/>
      <w:rPr>
        <w:rStyle w:val="FontStyle52"/>
        <w:spacing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8" w:rsidRPr="00A64876" w:rsidRDefault="005130F8" w:rsidP="00A648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8" w:rsidRPr="00A64876" w:rsidRDefault="005130F8" w:rsidP="00A648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4A4DDC"/>
    <w:lvl w:ilvl="0">
      <w:numFmt w:val="bullet"/>
      <w:lvlText w:val="*"/>
      <w:lvlJc w:val="left"/>
    </w:lvl>
  </w:abstractNum>
  <w:abstractNum w:abstractNumId="1">
    <w:nsid w:val="03B727A0"/>
    <w:multiLevelType w:val="singleLevel"/>
    <w:tmpl w:val="D5CA55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271258C"/>
    <w:multiLevelType w:val="singleLevel"/>
    <w:tmpl w:val="46B6137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1A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27FD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1E6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865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30F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247E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84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4876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0EB5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2EC7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322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E2DCAB-E129-441A-BDD6-C289464E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8F078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rsid w:val="008F0784"/>
    <w:pPr>
      <w:widowControl w:val="0"/>
      <w:autoSpaceDE w:val="0"/>
      <w:autoSpaceDN w:val="0"/>
      <w:adjustRightInd w:val="0"/>
      <w:spacing w:line="433" w:lineRule="exact"/>
      <w:ind w:firstLine="629"/>
      <w:jc w:val="both"/>
    </w:pPr>
  </w:style>
  <w:style w:type="paragraph" w:customStyle="1" w:styleId="Style4">
    <w:name w:val="Style4"/>
    <w:basedOn w:val="a"/>
    <w:rsid w:val="008F078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F0784"/>
    <w:pPr>
      <w:widowControl w:val="0"/>
      <w:autoSpaceDE w:val="0"/>
      <w:autoSpaceDN w:val="0"/>
      <w:adjustRightInd w:val="0"/>
      <w:spacing w:line="291" w:lineRule="exact"/>
      <w:jc w:val="center"/>
    </w:pPr>
  </w:style>
  <w:style w:type="paragraph" w:customStyle="1" w:styleId="Style17">
    <w:name w:val="Style17"/>
    <w:basedOn w:val="a"/>
    <w:rsid w:val="008F0784"/>
    <w:pPr>
      <w:widowControl w:val="0"/>
      <w:autoSpaceDE w:val="0"/>
      <w:autoSpaceDN w:val="0"/>
      <w:adjustRightInd w:val="0"/>
      <w:spacing w:line="433" w:lineRule="exact"/>
      <w:ind w:firstLine="542"/>
      <w:jc w:val="both"/>
    </w:pPr>
  </w:style>
  <w:style w:type="paragraph" w:customStyle="1" w:styleId="Style18">
    <w:name w:val="Style18"/>
    <w:basedOn w:val="a"/>
    <w:rsid w:val="008F0784"/>
    <w:pPr>
      <w:widowControl w:val="0"/>
      <w:autoSpaceDE w:val="0"/>
      <w:autoSpaceDN w:val="0"/>
      <w:adjustRightInd w:val="0"/>
      <w:spacing w:line="432" w:lineRule="exact"/>
      <w:jc w:val="both"/>
    </w:pPr>
  </w:style>
  <w:style w:type="paragraph" w:customStyle="1" w:styleId="Style20">
    <w:name w:val="Style20"/>
    <w:basedOn w:val="a"/>
    <w:rsid w:val="008F0784"/>
    <w:pPr>
      <w:widowControl w:val="0"/>
      <w:autoSpaceDE w:val="0"/>
      <w:autoSpaceDN w:val="0"/>
      <w:adjustRightInd w:val="0"/>
      <w:spacing w:line="432" w:lineRule="exact"/>
      <w:ind w:firstLine="667"/>
    </w:pPr>
  </w:style>
  <w:style w:type="paragraph" w:customStyle="1" w:styleId="Style22">
    <w:name w:val="Style22"/>
    <w:basedOn w:val="a"/>
    <w:rsid w:val="008F0784"/>
    <w:pPr>
      <w:widowControl w:val="0"/>
      <w:autoSpaceDE w:val="0"/>
      <w:autoSpaceDN w:val="0"/>
      <w:adjustRightInd w:val="0"/>
      <w:spacing w:line="432" w:lineRule="exact"/>
      <w:ind w:firstLine="691"/>
      <w:jc w:val="both"/>
    </w:pPr>
  </w:style>
  <w:style w:type="paragraph" w:customStyle="1" w:styleId="Style23">
    <w:name w:val="Style23"/>
    <w:basedOn w:val="a"/>
    <w:rsid w:val="008F0784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24">
    <w:name w:val="Style24"/>
    <w:basedOn w:val="a"/>
    <w:rsid w:val="008F0784"/>
    <w:pPr>
      <w:widowControl w:val="0"/>
      <w:autoSpaceDE w:val="0"/>
      <w:autoSpaceDN w:val="0"/>
      <w:adjustRightInd w:val="0"/>
      <w:spacing w:line="432" w:lineRule="exact"/>
      <w:jc w:val="both"/>
    </w:pPr>
  </w:style>
  <w:style w:type="paragraph" w:customStyle="1" w:styleId="Style25">
    <w:name w:val="Style25"/>
    <w:basedOn w:val="a"/>
    <w:rsid w:val="008F0784"/>
    <w:pPr>
      <w:widowControl w:val="0"/>
      <w:autoSpaceDE w:val="0"/>
      <w:autoSpaceDN w:val="0"/>
      <w:adjustRightInd w:val="0"/>
      <w:jc w:val="both"/>
    </w:pPr>
  </w:style>
  <w:style w:type="paragraph" w:customStyle="1" w:styleId="Style26">
    <w:name w:val="Style26"/>
    <w:basedOn w:val="a"/>
    <w:rsid w:val="008F0784"/>
    <w:pPr>
      <w:widowControl w:val="0"/>
      <w:autoSpaceDE w:val="0"/>
      <w:autoSpaceDN w:val="0"/>
      <w:adjustRightInd w:val="0"/>
      <w:spacing w:line="430" w:lineRule="exact"/>
      <w:ind w:firstLine="365"/>
    </w:pPr>
  </w:style>
  <w:style w:type="paragraph" w:customStyle="1" w:styleId="Style28">
    <w:name w:val="Style28"/>
    <w:basedOn w:val="a"/>
    <w:rsid w:val="008F078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F078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F0784"/>
    <w:pPr>
      <w:widowControl w:val="0"/>
      <w:autoSpaceDE w:val="0"/>
      <w:autoSpaceDN w:val="0"/>
      <w:adjustRightInd w:val="0"/>
      <w:spacing w:line="434" w:lineRule="exact"/>
    </w:pPr>
  </w:style>
  <w:style w:type="paragraph" w:customStyle="1" w:styleId="Style31">
    <w:name w:val="Style31"/>
    <w:basedOn w:val="a"/>
    <w:rsid w:val="008F0784"/>
    <w:pPr>
      <w:widowControl w:val="0"/>
      <w:autoSpaceDE w:val="0"/>
      <w:autoSpaceDN w:val="0"/>
      <w:adjustRightInd w:val="0"/>
      <w:spacing w:line="434" w:lineRule="exact"/>
      <w:ind w:firstLine="806"/>
      <w:jc w:val="both"/>
    </w:pPr>
  </w:style>
  <w:style w:type="character" w:customStyle="1" w:styleId="FontStyle41">
    <w:name w:val="Font Style41"/>
    <w:rsid w:val="008F0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8F078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8F0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8F078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rsid w:val="008F078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F0784"/>
    <w:rPr>
      <w:rFonts w:ascii="Times New Roman" w:hAnsi="Times New Roman" w:cs="Times New Roman"/>
      <w:spacing w:val="60"/>
      <w:sz w:val="12"/>
      <w:szCs w:val="12"/>
    </w:rPr>
  </w:style>
  <w:style w:type="paragraph" w:styleId="a3">
    <w:name w:val="footer"/>
    <w:basedOn w:val="a"/>
    <w:link w:val="a4"/>
    <w:uiPriority w:val="99"/>
    <w:rsid w:val="001727FD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727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64876"/>
    <w:rPr>
      <w:sz w:val="24"/>
      <w:szCs w:val="24"/>
    </w:rPr>
  </w:style>
  <w:style w:type="character" w:styleId="a6">
    <w:name w:val="Hyperlink"/>
    <w:uiPriority w:val="99"/>
    <w:unhideWhenUsed/>
    <w:rsid w:val="00A648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4999</Characters>
  <Application>Microsoft Office Word</Application>
  <DocSecurity>0</DocSecurity>
  <Lines>97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образец</vt:lpstr>
    </vt:vector>
  </TitlesOfParts>
  <Manager>formadoc.ru</Manager>
  <Company>formadoc.ru</Company>
  <LinksUpToDate>false</LinksUpToDate>
  <CharactersWithSpaces>5832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пояснительной записки к годовому отчету</dc:title>
  <dc:subject>Типовой пример пояснительной записки к годовому отчету, а также персональные бесплатные юридические консультации экспертов - правовиков.</dc:subject>
  <dc:creator>formadoc.ru</dc:creator>
  <cp:keywords>Прочие, Бизнес, Корпоративное право, Пояснительной записка к годовому отчету</cp:keywords>
  <dc:description>Типовой пример пояснительной записки к годовому отчету, а также персональные бесплатные юридические консультации экспертов - правовиков.</dc:description>
  <cp:lastModifiedBy>formadoc.ru</cp:lastModifiedBy>
  <cp:revision>3</cp:revision>
  <cp:lastPrinted>2020-11-16T18:34:00Z</cp:lastPrinted>
  <dcterms:created xsi:type="dcterms:W3CDTF">2020-11-16T18:34:00Z</dcterms:created>
  <dcterms:modified xsi:type="dcterms:W3CDTF">2020-11-16T18:34:00Z</dcterms:modified>
  <cp:category>Прочие/Бизнес/КОРПОРАТИВНОЕ ПРАВО/Пояснительной записка к годовому отчету</cp:category>
  <dc:language>Rus</dc:language>
  <cp:version>1.0</cp:version>
</cp:coreProperties>
</file>