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bookmarkStart w:id="0" w:name="_GoBack"/>
      <w:bookmarkEnd w:id="0"/>
      <w:r>
        <w:rPr>
          <w:rFonts w:ascii="Arial" w:hAnsi="Arial" w:cs="Arial"/>
          <w:color w:val="333333"/>
          <w:sz w:val="17"/>
          <w:szCs w:val="17"/>
        </w:rPr>
        <w:t>ПРАВОВОЕ ЗАКЛЮЧЕНИЕ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по поставленным вопросам</w:t>
      </w:r>
      <w:r>
        <w:rPr>
          <w:rStyle w:val="apple-converted-space"/>
          <w:rFonts w:ascii="Arial" w:hAnsi="Arial" w:cs="Arial"/>
          <w:color w:val="333333"/>
          <w:sz w:val="17"/>
          <w:szCs w:val="17"/>
        </w:rPr>
        <w:t> </w:t>
      </w:r>
      <w:r>
        <w:rPr>
          <w:rStyle w:val="a4"/>
          <w:rFonts w:ascii="Arial" w:hAnsi="Arial" w:cs="Arial"/>
          <w:color w:val="018999"/>
          <w:sz w:val="17"/>
          <w:szCs w:val="17"/>
        </w:rPr>
        <w:t>по Договору поставки</w:t>
      </w:r>
      <w:r>
        <w:rPr>
          <w:rStyle w:val="apple-converted-space"/>
          <w:rFonts w:ascii="Arial" w:hAnsi="Arial" w:cs="Arial"/>
          <w:color w:val="333333"/>
          <w:sz w:val="17"/>
          <w:szCs w:val="17"/>
        </w:rPr>
        <w:t> </w:t>
      </w:r>
      <w:r>
        <w:rPr>
          <w:rFonts w:ascii="Arial" w:hAnsi="Arial" w:cs="Arial"/>
          <w:color w:val="333333"/>
          <w:sz w:val="17"/>
          <w:szCs w:val="17"/>
        </w:rPr>
        <w:t>№ _____ от «__»._____.20___ г., заключенному между поставщиком ООО «______________» и покупателем ООО «___________»</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I.</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Возможно ли взыскание дебиторской задолженности за неуплату поставленного товара, с начислением пени за просрочку?</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Взыскание дебиторской задолженности за неуплату поставленного товара с начислением пени за неуплату поставленного товара возможно.</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п. 1, 5 ст. 454 Гражданского кодекса РФ (далее – ГК РФ), по договору купли-продажи продавец обязуется передать товар в собственность покупателю, а последний обязуется принять этот товар и уплатить за него установленную договором цену;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другое не предусмотрено специальными правилами настоящего Кодекса.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506 ГК РФ, по договору поставки продавец обязуется передать покупателю в оговоренные срок производимые либо закупаемые им товары для использования в предпринимательской деятельности или в иных целях, не связанных с потребительством.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1.1. ст. 1 Договора поставки № 07720 от 20.01.2012 г. (далее – договор поставки), поставщик обязуется поставлять товар покупателю, а покупатель обязуется принимать и оплачивать товар.</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309 ГК РФ все обязательства должны исполняться надлежащим образом в соответствии с их условиями и требованиями закона, а при отсутствии таких условий и требований — в соответствии с деловым оборотом.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310 ГК РФ односторонний отказ от исполнения обязательства как и одностороннее изменение его условий запрещены.</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п. 1, 3 ст. 486 ГК РФ, покупатель должен оплатить товар сразу до или после передачи ему товара, если иное не предусмотрено настоящим договором и не вытекает из самого обязательства; если покупатель своевременно не оплачивает полученный товар, продавец вправе потребовать оплаты товара и уплаты процентов в том числе, в судебном порядке.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Заключив договор поставки, покупатель принял на себя обязанность принимать и оплачивать поставляемый товар.</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Нормами Гражданского кодекса РФ установлена недопустимость одностороннего отказа от исполнения обязательств, в связи с чем, покупатель обязан оплатить поставленный товар в установленные договором сроки.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Нормами п. 3 ст. 486, ст. 395 ГК РФ предусмотрены меры ответственности за несвоевременное исполнение обязанности покупателем по оплате товара – уплата процентов за пользование чужими денежными средствами.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 как договором поставки не установлен размер процентов за несвоевременную оплату покупателем переданного товара, проценты рассчитываются в соответствии с п. 1 ст. 395 ГК РФ.</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lastRenderedPageBreak/>
        <w:t>Согласно разъяснениям, данным в  п. 50 Постановления Пленума Верховного Суда РФ N 6, Пленума ВАС РФ N 8 от 01.07.1996 «О некоторых вопросах, связанных с применением части первой Гражданского кодекса Российской Федерации», проценты, предусмотренные пунктом 1 статьи 395, подлежат уплате независимо от того, получены ли чужие денежные средства в соответствии с договором либо при отсутствии договорных отношений. Как пользование чужими денежными средствами следует квалифицировать также просрочку уплаты должником денежных сумм за переданные ему товары, выполненные работы, оказанные услуги.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п. п. 2, 3 Постановления Пленума Верховного Суда РФ N 13,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 даны следующие разъяснения относительно уплаты процентов за пользование чужими денежными средствами: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Проценты начисляются до момента фактического исполнения денежного обязательства, определяемого исходя из условий о порядке платежей, форме расчетов и положений статьи 316 ГК РФ о месте исполнения денежного обязательства, если иное не установлено законом либо соглашением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Исходя из пункта 1 статьи 395 Кодекса в случаях, когда сумма долга уплачена должником с просрочкой, судом при взыскании процентов применяется учетная ставка банковского процента на день фактического исполнения денежного обязательства (уплаты долга), если договором не установлен иной порядок определения процентной ставки.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При</w:t>
      </w:r>
      <w:r>
        <w:rPr>
          <w:rStyle w:val="apple-converted-space"/>
          <w:rFonts w:ascii="Arial" w:hAnsi="Arial" w:cs="Arial"/>
          <w:color w:val="333333"/>
          <w:sz w:val="17"/>
          <w:szCs w:val="17"/>
        </w:rPr>
        <w:t> </w:t>
      </w:r>
      <w:hyperlink r:id="rId7" w:history="1">
        <w:r>
          <w:rPr>
            <w:rStyle w:val="a5"/>
            <w:rFonts w:ascii="Arial" w:hAnsi="Arial" w:cs="Arial"/>
            <w:b/>
            <w:bCs/>
            <w:color w:val="018999"/>
            <w:sz w:val="17"/>
            <w:szCs w:val="17"/>
          </w:rPr>
          <w:t>взыскании суммы долга в судебном порядке</w:t>
        </w:r>
      </w:hyperlink>
      <w:r>
        <w:rPr>
          <w:rStyle w:val="apple-converted-space"/>
          <w:rFonts w:ascii="Arial" w:hAnsi="Arial" w:cs="Arial"/>
          <w:color w:val="333333"/>
          <w:sz w:val="17"/>
          <w:szCs w:val="17"/>
        </w:rPr>
        <w:t> </w:t>
      </w:r>
      <w:r>
        <w:rPr>
          <w:rFonts w:ascii="Arial" w:hAnsi="Arial" w:cs="Arial"/>
          <w:color w:val="333333"/>
          <w:sz w:val="17"/>
          <w:szCs w:val="17"/>
        </w:rPr>
        <w:t>и при отсутствии в договоре соглашения о размере процентов суд вправе определить, какую учетную ставку банковского процента следует применить: на день предъявления иска или на день вынесения решения суда.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этом случае</w:t>
      </w:r>
      <w:r>
        <w:rPr>
          <w:rStyle w:val="apple-converted-space"/>
          <w:rFonts w:ascii="Arial" w:hAnsi="Arial" w:cs="Arial"/>
          <w:color w:val="333333"/>
          <w:sz w:val="17"/>
          <w:szCs w:val="17"/>
        </w:rPr>
        <w:t> </w:t>
      </w:r>
      <w:r>
        <w:rPr>
          <w:rStyle w:val="a4"/>
          <w:rFonts w:ascii="Arial" w:hAnsi="Arial" w:cs="Arial"/>
          <w:color w:val="018999"/>
          <w:sz w:val="17"/>
          <w:szCs w:val="17"/>
        </w:rPr>
        <w:t>при выборе соответствующей учетной ставки банковского процента необходимо, в частности, принимать во внимание, в течение какого времени имело место неисполнение денежного обязательства, изменялся ли размер учетной ставки за этот период, имелись ли длительные периоды, когда учетная ставка оставалась неизменной</w:t>
      </w:r>
      <w:r>
        <w:rPr>
          <w:rFonts w:ascii="Arial" w:hAnsi="Arial" w:cs="Arial"/>
          <w:color w:val="333333"/>
          <w:sz w:val="17"/>
          <w:szCs w:val="17"/>
        </w:rPr>
        <w:t>.</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Если за время неисполнения денежного обязательства учетная ставка банковского процента изменялась, целесообразно отдавать предпочтение той учетной ставке банковского процента (на день предъявления иска или на день вынесения решения судом), которая наиболее близка по значению к учетным ставкам, существовавшим в течение всего периода просрочки платежа.»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Формулу расчета процентов за пользование чужими денежными средствами можно представить в следующем виде:</w:t>
      </w:r>
    </w:p>
    <w:tbl>
      <w:tblPr>
        <w:tblW w:w="0" w:type="auto"/>
        <w:tblCellSpacing w:w="15" w:type="dxa"/>
        <w:shd w:val="clear" w:color="auto" w:fill="FFFFFF"/>
        <w:tblCellMar>
          <w:left w:w="0" w:type="dxa"/>
          <w:right w:w="0" w:type="dxa"/>
        </w:tblCellMar>
        <w:tblLook w:val="0000" w:firstRow="0" w:lastRow="0" w:firstColumn="0" w:lastColumn="0" w:noHBand="0" w:noVBand="0"/>
      </w:tblPr>
      <w:tblGrid>
        <w:gridCol w:w="1156"/>
        <w:gridCol w:w="176"/>
        <w:gridCol w:w="2636"/>
        <w:gridCol w:w="130"/>
        <w:gridCol w:w="777"/>
        <w:gridCol w:w="131"/>
        <w:gridCol w:w="3883"/>
        <w:gridCol w:w="132"/>
        <w:gridCol w:w="394"/>
      </w:tblGrid>
      <w:tr w:rsidR="009A6596" w:rsidTr="009A6596">
        <w:trPr>
          <w:tblCellSpacing w:w="15" w:type="dxa"/>
        </w:trPr>
        <w:tc>
          <w:tcPr>
            <w:tcW w:w="105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6"/>
                <w:rFonts w:ascii="Arial" w:hAnsi="Arial" w:cs="Arial"/>
                <w:b/>
                <w:bCs/>
                <w:color w:val="333333"/>
                <w:sz w:val="17"/>
                <w:szCs w:val="17"/>
              </w:rPr>
              <w:t>Сумма долга</w:t>
            </w:r>
          </w:p>
        </w:tc>
        <w:tc>
          <w:tcPr>
            <w:tcW w:w="33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4"/>
                <w:rFonts w:ascii="Arial" w:hAnsi="Arial" w:cs="Arial"/>
                <w:color w:val="333333"/>
                <w:sz w:val="17"/>
                <w:szCs w:val="17"/>
              </w:rPr>
              <w:t> х</w:t>
            </w:r>
          </w:p>
        </w:tc>
        <w:tc>
          <w:tcPr>
            <w:tcW w:w="2415"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6"/>
                <w:rFonts w:ascii="Arial" w:hAnsi="Arial" w:cs="Arial"/>
                <w:b/>
                <w:bCs/>
                <w:color w:val="333333"/>
                <w:sz w:val="17"/>
                <w:szCs w:val="17"/>
              </w:rPr>
              <w:t>Ставкарефинансирования ЦБ РФ (%)</w:t>
            </w:r>
          </w:p>
        </w:tc>
        <w:tc>
          <w:tcPr>
            <w:tcW w:w="285"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4"/>
                <w:rFonts w:ascii="Arial" w:hAnsi="Arial" w:cs="Arial"/>
                <w:color w:val="333333"/>
                <w:sz w:val="17"/>
                <w:szCs w:val="17"/>
              </w:rPr>
              <w:t> /</w:t>
            </w:r>
          </w:p>
        </w:tc>
        <w:tc>
          <w:tcPr>
            <w:tcW w:w="1095"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6"/>
                <w:rFonts w:ascii="Arial" w:hAnsi="Arial" w:cs="Arial"/>
                <w:b/>
                <w:bCs/>
                <w:color w:val="333333"/>
                <w:sz w:val="17"/>
                <w:szCs w:val="17"/>
              </w:rPr>
              <w:t>360 дней</w:t>
            </w:r>
          </w:p>
        </w:tc>
        <w:tc>
          <w:tcPr>
            <w:tcW w:w="33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4"/>
                <w:rFonts w:ascii="Arial" w:hAnsi="Arial" w:cs="Arial"/>
                <w:color w:val="333333"/>
                <w:sz w:val="17"/>
                <w:szCs w:val="17"/>
              </w:rPr>
              <w:t>х</w:t>
            </w:r>
          </w:p>
        </w:tc>
        <w:tc>
          <w:tcPr>
            <w:tcW w:w="270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6"/>
                <w:rFonts w:ascii="Arial" w:hAnsi="Arial" w:cs="Arial"/>
                <w:b/>
                <w:bCs/>
                <w:color w:val="333333"/>
                <w:sz w:val="17"/>
                <w:szCs w:val="17"/>
              </w:rPr>
              <w:t>Количество дней просрочки исполнения обязательства</w:t>
            </w:r>
          </w:p>
        </w:tc>
        <w:tc>
          <w:tcPr>
            <w:tcW w:w="36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4"/>
                <w:rFonts w:ascii="Arial" w:hAnsi="Arial" w:cs="Arial"/>
                <w:color w:val="333333"/>
                <w:sz w:val="17"/>
                <w:szCs w:val="17"/>
              </w:rPr>
              <w:t> /</w:t>
            </w:r>
          </w:p>
        </w:tc>
        <w:tc>
          <w:tcPr>
            <w:tcW w:w="1020" w:type="dxa"/>
            <w:shd w:val="clear" w:color="auto" w:fill="FFFFFF"/>
            <w:vAlign w:val="center"/>
          </w:tcPr>
          <w:p w:rsidR="009A6596" w:rsidRDefault="009A6596">
            <w:pPr>
              <w:spacing w:line="216" w:lineRule="atLeast"/>
              <w:jc w:val="both"/>
              <w:rPr>
                <w:rFonts w:ascii="Arial" w:hAnsi="Arial" w:cs="Arial"/>
                <w:color w:val="333333"/>
                <w:sz w:val="17"/>
                <w:szCs w:val="17"/>
              </w:rPr>
            </w:pPr>
            <w:r>
              <w:rPr>
                <w:rStyle w:val="a6"/>
                <w:rFonts w:ascii="Arial" w:hAnsi="Arial" w:cs="Arial"/>
                <w:b/>
                <w:bCs/>
                <w:color w:val="333333"/>
                <w:sz w:val="17"/>
                <w:szCs w:val="17"/>
              </w:rPr>
              <w:t> 100</w:t>
            </w:r>
          </w:p>
        </w:tc>
      </w:tr>
    </w:tbl>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 </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исходя из перечисленных норм, возможно</w:t>
      </w:r>
      <w:r>
        <w:rPr>
          <w:rStyle w:val="apple-converted-space"/>
          <w:rFonts w:ascii="Arial" w:hAnsi="Arial" w:cs="Arial"/>
          <w:color w:val="333333"/>
          <w:sz w:val="17"/>
          <w:szCs w:val="17"/>
        </w:rPr>
        <w:t> </w:t>
      </w:r>
      <w:hyperlink r:id="rId8" w:history="1">
        <w:r>
          <w:rPr>
            <w:rStyle w:val="a5"/>
            <w:rFonts w:ascii="Arial" w:hAnsi="Arial" w:cs="Arial"/>
            <w:b/>
            <w:bCs/>
            <w:color w:val="018999"/>
            <w:sz w:val="17"/>
            <w:szCs w:val="17"/>
          </w:rPr>
          <w:t>взыскание дебиторской задолженности и процентов</w:t>
        </w:r>
      </w:hyperlink>
      <w:r>
        <w:rPr>
          <w:rStyle w:val="apple-converted-space"/>
          <w:rFonts w:ascii="Arial" w:hAnsi="Arial" w:cs="Arial"/>
          <w:color w:val="333333"/>
          <w:sz w:val="17"/>
          <w:szCs w:val="17"/>
        </w:rPr>
        <w:t> </w:t>
      </w:r>
      <w:r>
        <w:rPr>
          <w:rFonts w:ascii="Arial" w:hAnsi="Arial" w:cs="Arial"/>
          <w:color w:val="333333"/>
          <w:sz w:val="17"/>
          <w:szCs w:val="17"/>
        </w:rPr>
        <w:t>за пользование чужими денежными средствами за несвоевременную оплату поставленного товара.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II.</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Возможно ли  взыскать с Покупателя убытки за отказ от выкупа  произведенного, импортированного товара, выведенного Покупателем из ассортимента без информирования Поставщика?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Однозначный ответ на поставленный вопрос отсутствует. Возможность взыскания убытков зависит от наличия доказательств намерений покупателя заказывать у поставщика определенный ассортимент товаров, доказательств производства и импортирования поставщиком ассортимента товаров для определенного покупателя.</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 xml:space="preserve">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w:t>
      </w:r>
      <w:r>
        <w:rPr>
          <w:rFonts w:ascii="Arial" w:hAnsi="Arial" w:cs="Arial"/>
          <w:color w:val="333333"/>
          <w:sz w:val="17"/>
          <w:szCs w:val="17"/>
        </w:rPr>
        <w:lastRenderedPageBreak/>
        <w:t>лицо, право которого нарушено, вправе требовать возмещения наряду с другими убытками упущенной выгоды в размере не меньшем, чем такие доходы.</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Возмещение убытков является мерой гражданско-правовой ответственности, ее применение возможно лишь при наличии условий, предусмотренных законом.  Исходя из буквального толкования ст. 15 ГК РФ, лицо, требующее возмещения причиненных ему убытков, должно доказать наступление вреда, противоправность действий причинителя вреда, причинно-следственную связь между виновными (противоправными) действиями причинителя вреда и фактом причинения вреда, а также размер вреда, подтвержденный документально. Требование о взыскании убытков может быть удовлетворено только при установлении совокупности всех указанных элементов ответственности. Недоказанность одного из необходимых оснований возмещения убытков исключает возможность удовлетворения исковых требований. Изложенное толкование ст. 15 ГК РФ подтверждается судебной практикой (Постановление ФАС Центрального округа от 21.04.2014 по делу N А14-2959/2013; Постановление ФАС Центрального округа от 01.04.2014 по делу N А64-1366/2013; Постановление ФАС Центрального округа от 21.02.2014 по делу N А14-16148/2012; Постановление ФАС Западно-Сибирского округа от 16.01.2014 по делу N А27-1398/2013; Постановление ФАС Центрального округа от 26.04.2013 по делу N А09-3849/2012 и др.)</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6.1 ст. 6 договора поставки, поставка товаров осуществляется на основании письменных заказов покупателя.</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п. 11.1, 11.2 ст. 11 договора поставки, стороны обязуются приложить все усилия для того, чтобы осуществить взаимовыгодное продвижение товара на рынке; для достижения этой цели поставщик обязуется регулярно обновлять информацию о поставляемом товаре, улучшать качество и расширять ассортимент товара; для ознакомления покупателя с товаром поставщик обязуется предоставлять покупателю образцы по каждому виду товара.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12.1 ст. 12 договора поставки, за присутствие товара в магазинах и продвижение товара поставщик выплачивает покупателю премию в размере, определенном в Ежегодном соглашении.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Исходя из перечисленных положений договора поставки, покупатель выбирает товар из предложенного поставщиком ассортимента. За присутствие товара в магазинах покупателю выплачивается премия (поощрение). То есть право выбора товара, который будет представлен в магазинах конечному потребителю, принадлежит покупателю.</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Положениями договора поставки не установлена обязанность покупателя осуществлять согласование с поставщиком ассортимента товаров, представляемого покупателем на своих торговых площадях конечному потребителю.</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чтобы взыскать с покупателя убытки за отказ от выкупа  произведенного, импортированного товара, выведенного покупателем из ассортимента без информирования поставщика, необходимо:</w:t>
      </w:r>
    </w:p>
    <w:p w:rsidR="009A6596" w:rsidRDefault="009A6596" w:rsidP="009A6596">
      <w:pPr>
        <w:numPr>
          <w:ilvl w:val="0"/>
          <w:numId w:val="1"/>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наличие доказательств, что покупатель намеревался заказывать у поставщика определенный ассортимент товаров (соглашение, договор, иной документ, однозначно выражающий волю покупателя на приобретение определенного ассортимента товаров);</w:t>
      </w:r>
    </w:p>
    <w:p w:rsidR="009A6596" w:rsidRDefault="009A6596" w:rsidP="009A6596">
      <w:pPr>
        <w:numPr>
          <w:ilvl w:val="0"/>
          <w:numId w:val="1"/>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наличие доказательств производства и импортирования определенного ассортимента товара поставщиком для целей его поставки конкретному покупателю.</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взыскание убытков предусмотрено нормами Гражданского кодекса РФ, однако процесс доказывания состава убытков, предусмотренного ст. 15 ГК РФ, является сложным и трудоемким, предусматривающим большой объем письменных доказательств. Данный ответ правового заключения, принимая во внимание сложившуюся судебную практику, является объективно спорным.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III.</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Возможно ли в порядке досудебного урегулирования споров уменьшить неустойку за 1 квартал 2015 года; возможно ли признание  ряд пунктов договора недействительными (неустойка, возврат непроданного товара?)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(1.) В досудебном порядке уменьшение неустойки возможно только по соглашению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(2.) Основания признания ряда условий договора поставки недействительными предусмотрены Гражданским кодексом РФ. Ввиду отсутствия исчерпывающей  информации, целесообразно составление отдельного заключения по данному вопросу.</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 xml:space="preserve">(1.) В соответствии с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w:t>
      </w:r>
      <w:r>
        <w:rPr>
          <w:rFonts w:ascii="Arial" w:hAnsi="Arial" w:cs="Arial"/>
          <w:color w:val="333333"/>
          <w:sz w:val="17"/>
          <w:szCs w:val="17"/>
        </w:rPr>
        <w:lastRenderedPageBreak/>
        <w:t>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331 ГК РФ, соглашение о неустойке должно быть совершено в письменной форме независимо от формы основного обязательства; несоблюдение письменной формы влечет недействительность соглашения о неустойке.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Статьей 13 договора поставки, статьей 4 ежегодного соглашения предусмотрена неустойка за ненадлежащее исполнение поставщиком обязанностей по договору поставки (форма соглашения о неустойке соблюдена).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нормами закона и положениями договора предусмотрена возможность установления и взыскания со стороны неустойки.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333 ГК РФ, если подлежащая уплате неустойка явно несоразмерна последствиям нарушения обязательства, суд вправе уменьшить неустойку.</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снижение неустойки законом предусмотрено в судебном порядке, в порядке досудебного урегулирования неустойка может быть снижена по соглашению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(2.) В соответствии с п. 1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Ничтожная сделка недействительна в силу закона, оспоримая сделка недействительна в результате ее признания недействительной судом.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Основания признания сделок недействительными сформулированы в § 2 главы 9 раздела I ГК РФ (часть первая):</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нарушающей требования закона или иного правового акта (ст. 168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совершенной с целью, противной основам правопорядка или нравственности (ст. 169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мнимой и притворной сделок (ст. 170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юридического лица, совершенной в противоречии с целями его деятельности (ст. 173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(ст. 173.1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(ст. 174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последствия совершения сделки в отношении имущества, распоряжение которым запрещено или ограничено (ст. 174.1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совершенной под влиянием существенного заблуждения (ст. 178 ГК РФ);</w:t>
      </w:r>
    </w:p>
    <w:p w:rsidR="009A6596" w:rsidRDefault="009A6596" w:rsidP="009A6596">
      <w:pPr>
        <w:numPr>
          <w:ilvl w:val="0"/>
          <w:numId w:val="2"/>
        </w:numPr>
        <w:shd w:val="clear" w:color="auto" w:fill="FFFFFF"/>
        <w:spacing w:after="48" w:line="216" w:lineRule="atLeast"/>
        <w:ind w:left="480"/>
        <w:jc w:val="both"/>
        <w:rPr>
          <w:rFonts w:ascii="Arial" w:hAnsi="Arial" w:cs="Arial"/>
          <w:color w:val="333333"/>
          <w:sz w:val="17"/>
          <w:szCs w:val="17"/>
        </w:rPr>
      </w:pPr>
      <w:r>
        <w:rPr>
          <w:rFonts w:ascii="Arial" w:hAnsi="Arial" w:cs="Arial"/>
          <w:color w:val="333333"/>
          <w:sz w:val="17"/>
          <w:szCs w:val="17"/>
        </w:rPr>
        <w:t>недействительность сделки, совершенной под влиянием обмана, насилия, угрозы или неблагоприятных обстоятельств (ст. 179 ГК РФ).</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Как указано в части 1 раздела III настоящего заключения, возможность взыскания неустойки предусмотрена нормами закона и положениями договора поставки.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Условия поставки, возврата товара согласованы сторонами в положениях договора поставки и в силу ст. ст. 309 – 310 (недопустимость одностороннего отказа от исполнения обязательств), 421 ГК РФ (свобода договора) являются обязательными для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связи с изложенным, предположительно, положения договора поставки являются оспоримыми и могут быть признаны недействительными в судебном порядке.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Ввиду отсутствия полной информации и существенного объема, для более точной оценки перспективы признания отдельных условий договора поставки недействительными целесообразно составление отдельного заключения с учетом особенностей бизнес-процессов сторон и сложившейся практики обычаев делового оборота.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Необходимо отметить специальные сроки исковой давности, установленные для признания оспоримой сделки недействительной.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2 ст. 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IV.</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lastRenderedPageBreak/>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Возможно ли расторжение договора  в соответствии со ст.523 ч.3 ГК РФ  (в случае нарушения сроков оплаты товары), либо в случае отказа от оплаты товара? описать, что для этого необходимо, последствия данного расторжения, что будет с товаром находящимся у Покупателя на момент расторжения договора?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Расторжение рассматриваемого договора поставки в одностороннем порядке на основании п. 3 ст. 523 ГК РФ возможно при неоднократном (два и более) нарушении покупателем сроков оплаты. Для этого необходимо направить покупателю соответствующее уведомление. Оплаченный и принятый товар является собственностью покупателя.</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п. 1, 2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п. 1, 3 ст. 523 ГК РФ,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нарушение договора поставки покупателем предполагается существенным в случаях: неоднократного нарушения сроков оплаты товаров; неоднократной невыборки товаров.</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указанным нормам, одностороннее расторжение договора поставки поставщиком является правомерным при неоднократном нарушении сроков оплаты покупателем. Точного определения критерия «неоднократности» в законе не содержится. Исходя из буквального толкования указанной нормы, «неоднократность» предполагает нарушение сроков оплаты более двух раз. Судами неоднократное нарушение сроков оплаты товара также квалифицируется в случае длительной неоплаты товара (Постановление ФАС Волго-Вятского округа от 17.09.2013 по делу N А39-1757/2012; Постановление ФАС Северо-Западного округа от 20.06.2007 N А56-42041/2004).</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связи с изложенным, неоднократным нарушением сроков оплаты товара является нарушение сроков оплаты более двух раз.</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 п. 4 ст. 523 ГК РФ,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14.3 ст. 14 договора поставки, настоящий договор может быть расторгнут по инициативе одной из сторон; сторона, выразившая желание расторгнуть договор, должна направить другой стороне уведомление о расторжении заказным письмом с уведомлением о вручении или с курьером под расписку в получении; договор будет считаться расторгнутым через шестьдесят календарных дней после получения уведомления другой стороной.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для расторжения рассматриваемого в рамках правового заключения договора поставки по п. 3 ст. 523 ГК РФ, поставщику необходимо направить уведомление (заказным письмом с уведомлением о вручении или с курьером под расписку в получении) покупателю о расторжении соответствующего договора поставки с указанием оснований расторжения, с указанием сроков, по истечении которых договор будет считаться расторгнутым. Согласно условиям договора поставки (п. 14.3 ст. 14), договор будет считаться расторгнутым через шестьдесят календарных дней после получения уведомления другой стороной.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14.5 ст. 14 договора поставки, в случае расторжения договора по любому из оснований стороны обязаны выполнить свои обязательства, принятые до момента расторжения договора; в частности поставщик обязан поставить заказанный покупателем товар и произвести все взаиморасчеты.</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7.9 ст. 7 договора поставки, право собственности на товар и риск случайной гибели переходит к покупателю с момента приемки товара.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7.10 ст. 7 договора поставки, обязательство поставщика по поставке товара считается исполненным, если товар доставлен в магазин покупателя, указанный в заказе, и если после его получения было подтверждено, что поставленный товар полностью соответствует требованиям законодательства, условиям заказа, в том числе по количеству и качеству, и положениям настоящего договора.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до даты расторжения действуют все условия договора поставки относительно поставки товара и взаиморасчетов. Принятый и оплаченный товар является собственностью покупателя.</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V.</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lastRenderedPageBreak/>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Возможно ли произвести удержание (зачет) штрафов  Покупателем в счет неуплаты за поставленный товар в одностороннем порядке?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Покупатель может произвести зачет требований в одностороннем порядке в соответствии с условиями договора поставки, однако, произведенный зачет может быть оспорен в судебном порядке (в случае оспаривания размера неустойки).</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410 ГК РФ,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Исходя из ст. 410 ГК РФ, условиями проведения зачета являются:</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1) однородность требований;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2) наступление срока исполнения (неуказание срока исполнения или определение его моментом востребования) в отношении каждого из требований.</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Президиум ВАС РФ в п. 7 Информационного письма от 29.12.2001 N 65 «Обзор практики разрешения споров, связанных с прекращением обязательств зачетом встречных однородных требований» разъяснил, ст. 410 ГК РФ не требует, чтобы предъявляемое к зачету требование вытекало из того же обязательства или из обязательств одного вида.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 понятие «однородности требований» не исключает возможности предъявления к зачету различных требований. Однако, даже при наличии одинакового объекта требований (к примеру, денежные средства) такие требования должны носить бесспорный характер.</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Неустойка по своей правовой природе является одним из способов обеспечения исполнения обязательств (§ 2 гл. 23 ГК РФ).</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случае судебного спора размер неустойки может быть снижен в соответствии со ст. 333 ГК РФ, в связи с чем, размер неустойки нельзя признать абсолютно бесспорным, что исключает правомерность зачета, если одним из встречных требований является требование об уплате неустойки (Постановления ФАС Северо-Западного округа от 24.09.2010 по делу N А56-21044/2009, ФАС Уральского округа от 06.11.2009 N Ф09-7855/09-С2 по делу N А60-692/2009-С3, от 22.11.2005 N Ф09-3817/05-С3 по делу N А50-15264/2005-Г24, ФАС Поволжского округа от 03.02.2011 по делу N А55-8248/2010, от 21.08.2008 по делу N А55-18232/07, ФАС Московского округа от 23.09.2004 N КГ-А40/8289-04, ФАС Западно-Сибирского округа от 03.10.2002 N Ф04/3729-111/А02-2002, ФАС Восточно-Сибирского округа от 04.09.2008 N А33-1238/08-Ф02-4282/08, Определение Московского областного суда от 16.11.2010 по делу N 33-21870).</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то же время есть судебные акты, содержащие противоположные выводы (Постановление ФАС Поволжского округа от 20.06.2008 по делу N А55-11547/2007</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(Определением ВАС РФ от 30.09.2008 N 12212/08 по делу N А55-11547/2007 отказано в передаче дела на рассмотрение в Президиум ВАС РФ)).</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5.7 ст. 5 договора поставки, в случае несоблюдения поставщиком срока оплаты премии и вознаграждения за услуги, установленного п. 12.10, а также в случае просрочки оплаты возвратов непроданного товара, штрафов и неустоек, предусмотренных ст. 13 договора поставки более, чем на 21 день после получения счета поставщиком, покупатель оставляет за собой право приостановить оплату за поставленный товар, либо расторгнуть договор поставки в порядке, предусмотренном п. 14.4 договора, либо провести зачет требований, направив поставщику письменное уведомление о проведении зачета в одностороннем порядке и акт о проведении зачета (за исключением случаев, когда проведение зачета невозможно без письменного согласия третьей стороны).</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правовое заключение не исключает право осуществления зачета в одностороннем порядке, так как оно предусмотрено условиями договора поставки, однако, в ввиду возможности оспаривания размера неустойки в судебном порядке, зачет требований в одностороннем порядке может быть оспорен в суде.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Style w:val="a4"/>
          <w:rFonts w:ascii="Arial" w:hAnsi="Arial" w:cs="Arial"/>
          <w:color w:val="018999"/>
          <w:sz w:val="17"/>
          <w:szCs w:val="17"/>
        </w:rPr>
        <w:t>VI.</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Вопрос:</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lastRenderedPageBreak/>
        <w:t>Что будет считаться датой открытия магазина — первый день его работы и начало продаж товаров  розничным покупателям или постановка на налоговый учет обособленного подразделения ?   Вправе ли Поставщик  отказать в предоставлении скидки многократно?</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Ответ:</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Исходя из системного толкования положений договора поставки, датой открытия магазина считается дата начала продаж товаров розничным покупателям.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u w:val="single"/>
        </w:rPr>
        <w:t>Обоснование:</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соответствии со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Нормами закона, условиями договора поставки не установлено, какую дату считать датой открытия магазина. Также отсутствуют общеобязательные разъяснения высших судебных органов.</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Руководствуясь ст. 431 ГК РФ, исходя из системного толкования положений договора поставки, датой открытия магазина считается дата начала продаж товаров розничным покупателям, так как до начала продаж товара розничным покупателям покупатель по договору поставки не реализует полученный от поставщика товар, не получает за него выручку, в связи с чем, для минимизации финансовых потерь поставщиком покупателю предоставляется скидка.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В рамках данного юридического анализа необходимо отметить, что в случае судебного рассмотрения спора, с учетом дополнительных обстоятельств по конкретному делу, суд может сделать иной вывод относительного того, какую дату считать датой открытия магазина.</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п. п. 4.1, 4.2 ст. 4 договора поставки, поставщик предоставляет покупателю скидки на товар в порядке, предусмотренным настоящим договором; скидки, предоставляемые поставщиком покупателю в отношении цен, указанных в прейскуранте, указываются в соответствующем Ежегодном соглашении в процентах.</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Согласно ст. 2 Ежегодного соглашения от 01.01.2014 г., скидка в размере 5% от цены, указанной в прейскуранте, предоставляется на весь товар, заказанный для каждого нового магазина покупателя по дату открытия магазина включительно.</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Таким образом, условиями договора поставки, относительно которого дается правовое заключение, предусмотрена обязанность поставщика предоставлять покупателю определенные виды скидок. В связи с недопустимостью отказа от одностороннего исполнения обязательств, отказ в предоставлении скидки не является правомерным.</w:t>
      </w:r>
    </w:p>
    <w:p w:rsidR="009A6596" w:rsidRDefault="009A6596" w:rsidP="009A6596">
      <w:pPr>
        <w:pStyle w:val="a3"/>
        <w:shd w:val="clear" w:color="auto" w:fill="FFFFFF"/>
        <w:spacing w:before="0" w:beforeAutospacing="0" w:after="180" w:afterAutospacing="0" w:line="216" w:lineRule="atLeast"/>
        <w:jc w:val="both"/>
        <w:rPr>
          <w:rFonts w:ascii="Arial" w:hAnsi="Arial" w:cs="Arial"/>
          <w:color w:val="333333"/>
          <w:sz w:val="17"/>
          <w:szCs w:val="17"/>
        </w:rPr>
      </w:pPr>
      <w:r>
        <w:rPr>
          <w:rFonts w:ascii="Arial" w:hAnsi="Arial" w:cs="Arial"/>
          <w:color w:val="333333"/>
          <w:sz w:val="17"/>
          <w:szCs w:val="17"/>
        </w:rPr>
        <w:t>Генеральный директор</w:t>
      </w:r>
      <w:r>
        <w:rPr>
          <w:rFonts w:ascii="Arial" w:hAnsi="Arial" w:cs="Arial"/>
          <w:color w:val="333333"/>
          <w:sz w:val="17"/>
          <w:szCs w:val="17"/>
        </w:rPr>
        <w:br/>
        <w:t>ООО «__________»  </w:t>
      </w:r>
      <w:r>
        <w:rPr>
          <w:rFonts w:ascii="Arial" w:hAnsi="Arial" w:cs="Arial"/>
          <w:color w:val="333333"/>
          <w:sz w:val="17"/>
          <w:szCs w:val="17"/>
          <w:u w:val="single"/>
        </w:rPr>
        <w:t>                                                                 </w:t>
      </w:r>
      <w:r>
        <w:rPr>
          <w:rFonts w:ascii="Arial" w:hAnsi="Arial" w:cs="Arial"/>
          <w:color w:val="333333"/>
          <w:sz w:val="17"/>
          <w:szCs w:val="17"/>
        </w:rPr>
        <w:t> /__________/</w:t>
      </w:r>
    </w:p>
    <w:p w:rsidR="009A6596" w:rsidRDefault="009A6596"/>
    <w:sectPr w:rsidR="009A659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98" w:rsidRDefault="00407F98">
      <w:r>
        <w:separator/>
      </w:r>
    </w:p>
  </w:endnote>
  <w:endnote w:type="continuationSeparator" w:id="0">
    <w:p w:rsidR="00407F98" w:rsidRDefault="0040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0E" w:rsidRPr="00F40B52" w:rsidRDefault="0017120E" w:rsidP="00F40B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52" w:rsidRPr="00AC1073" w:rsidRDefault="00F40B52" w:rsidP="00F40B52">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5"/>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0E" w:rsidRPr="00F40B52" w:rsidRDefault="0017120E" w:rsidP="00F40B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98" w:rsidRDefault="00407F98">
      <w:r>
        <w:separator/>
      </w:r>
    </w:p>
  </w:footnote>
  <w:footnote w:type="continuationSeparator" w:id="0">
    <w:p w:rsidR="00407F98" w:rsidRDefault="0040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0E" w:rsidRPr="00F40B52" w:rsidRDefault="0017120E" w:rsidP="00F40B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0E" w:rsidRPr="00F40B52" w:rsidRDefault="0017120E" w:rsidP="00F40B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0E" w:rsidRPr="00F40B52" w:rsidRDefault="0017120E" w:rsidP="00F40B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759C7"/>
    <w:multiLevelType w:val="multilevel"/>
    <w:tmpl w:val="E2B2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40B51"/>
    <w:multiLevelType w:val="multilevel"/>
    <w:tmpl w:val="A0B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596"/>
    <w:rsid w:val="0017120E"/>
    <w:rsid w:val="00407F98"/>
    <w:rsid w:val="006D7E57"/>
    <w:rsid w:val="009A6596"/>
    <w:rsid w:val="00F4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F905D7-940E-4D34-A061-AD8989C6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A6596"/>
    <w:pPr>
      <w:spacing w:before="100" w:beforeAutospacing="1" w:after="100" w:afterAutospacing="1"/>
    </w:pPr>
  </w:style>
  <w:style w:type="character" w:customStyle="1" w:styleId="apple-converted-space">
    <w:name w:val="apple-converted-space"/>
    <w:basedOn w:val="a0"/>
    <w:rsid w:val="009A6596"/>
  </w:style>
  <w:style w:type="character" w:styleId="a4">
    <w:name w:val="Strong"/>
    <w:qFormat/>
    <w:rsid w:val="009A6596"/>
    <w:rPr>
      <w:b/>
      <w:bCs/>
    </w:rPr>
  </w:style>
  <w:style w:type="character" w:styleId="a5">
    <w:name w:val="Hyperlink"/>
    <w:uiPriority w:val="99"/>
    <w:rsid w:val="009A6596"/>
    <w:rPr>
      <w:color w:val="0000FF"/>
      <w:u w:val="single"/>
    </w:rPr>
  </w:style>
  <w:style w:type="character" w:styleId="a6">
    <w:name w:val="Emphasis"/>
    <w:qFormat/>
    <w:rsid w:val="009A6596"/>
    <w:rPr>
      <w:i/>
      <w:iCs/>
    </w:rPr>
  </w:style>
  <w:style w:type="paragraph" w:styleId="a7">
    <w:name w:val="header"/>
    <w:basedOn w:val="a"/>
    <w:rsid w:val="009A6596"/>
    <w:pPr>
      <w:tabs>
        <w:tab w:val="center" w:pos="4677"/>
        <w:tab w:val="right" w:pos="9355"/>
      </w:tabs>
    </w:pPr>
  </w:style>
  <w:style w:type="paragraph" w:styleId="a8">
    <w:name w:val="footer"/>
    <w:basedOn w:val="a"/>
    <w:link w:val="a9"/>
    <w:uiPriority w:val="99"/>
    <w:rsid w:val="009A6596"/>
    <w:pPr>
      <w:tabs>
        <w:tab w:val="center" w:pos="4677"/>
        <w:tab w:val="right" w:pos="9355"/>
      </w:tabs>
    </w:pPr>
  </w:style>
  <w:style w:type="character" w:customStyle="1" w:styleId="a9">
    <w:name w:val="Нижний колонтитул Знак"/>
    <w:link w:val="a8"/>
    <w:uiPriority w:val="99"/>
    <w:rsid w:val="00F40B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rist-arbitr.ru/vzyskanie-dolga/vzyskanie-zadolzhennosti-vozvrat-denezhnyx-dol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rist-arbitr.ru/vzyskanie-dolga/vzyskanie-zadolzhennosti-vozvrat-problemnyx-denezhnyx-dol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3625</Words>
  <Characters>24673</Characters>
  <Application>Microsoft Office Word</Application>
  <DocSecurity>0</DocSecurity>
  <Lines>354</Lines>
  <Paragraphs>135</Paragraphs>
  <ScaleCrop>false</ScaleCrop>
  <HeadingPairs>
    <vt:vector size="2" baseType="variant">
      <vt:variant>
        <vt:lpstr>Название</vt:lpstr>
      </vt:variant>
      <vt:variant>
        <vt:i4>1</vt:i4>
      </vt:variant>
    </vt:vector>
  </HeadingPairs>
  <TitlesOfParts>
    <vt:vector size="1" baseType="lpstr">
      <vt:lpstr>ПРАВОВОЕ ЗАКЛЮЧЕНИЕ</vt:lpstr>
    </vt:vector>
  </TitlesOfParts>
  <Manager>formadoc.ru</Manager>
  <Company>formadoc.ru</Company>
  <LinksUpToDate>false</LinksUpToDate>
  <CharactersWithSpaces>28267</CharactersWithSpaces>
  <SharedDoc>false</SharedDoc>
  <HLinks>
    <vt:vector size="12" baseType="variant">
      <vt:variant>
        <vt:i4>4128808</vt:i4>
      </vt:variant>
      <vt:variant>
        <vt:i4>3</vt:i4>
      </vt:variant>
      <vt:variant>
        <vt:i4>0</vt:i4>
      </vt:variant>
      <vt:variant>
        <vt:i4>5</vt:i4>
      </vt:variant>
      <vt:variant>
        <vt:lpwstr>http://www.jurist-arbitr.ru/vzyskanie-dolga/vzyskanie-zadolzhennosti-vozvrat-denezhnyx-dolgov/</vt:lpwstr>
      </vt:variant>
      <vt:variant>
        <vt:lpwstr/>
      </vt:variant>
      <vt:variant>
        <vt:i4>1638408</vt:i4>
      </vt:variant>
      <vt:variant>
        <vt:i4>0</vt:i4>
      </vt:variant>
      <vt:variant>
        <vt:i4>0</vt:i4>
      </vt:variant>
      <vt:variant>
        <vt:i4>5</vt:i4>
      </vt:variant>
      <vt:variant>
        <vt:lpwstr>http://www.jurist-arbitr.ru/vzyskanie-dolga/vzyskanie-zadolzhennosti-vozvrat-problemnyx-denezhnyx-dolgov/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правовое заключение по договору образец</dc:title>
  <dc:subject>Правовые особенности оформления правового заключения по договору, образец и пример, а также бесплатные советы адвокатов</dc:subject>
  <dc:creator>formadoc.ru</dc:creator>
  <cp:keywords>Прочие, Бизнес, Гражданское право, Правовое заключение по договору</cp:keywords>
  <dc:description>Правовые особенности оформления правового заключения по договору, образец и пример, а также бесплатные советы адвокатов</dc:description>
  <cp:lastModifiedBy>formadoc.ru</cp:lastModifiedBy>
  <cp:revision>3</cp:revision>
  <cp:lastPrinted>2020-11-16T13:09:00Z</cp:lastPrinted>
  <dcterms:created xsi:type="dcterms:W3CDTF">2020-11-16T13:09:00Z</dcterms:created>
  <dcterms:modified xsi:type="dcterms:W3CDTF">2020-11-16T13:09:00Z</dcterms:modified>
  <cp:category>Прочие/Бизнес/Гражданское право/Правовое заключение по договору</cp:category>
  <dc:language>Rus</dc:language>
  <cp:version>1.0</cp:version>
</cp:coreProperties>
</file>